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6CDF0C54" w:rsidR="00993245" w:rsidRDefault="00993245" w:rsidP="00E14C0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E14C0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برنامه ریزی و ارزشیابی مراقبتهای پرستاری برای 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>سلامت</w:t>
      </w:r>
      <w:r w:rsidR="00E14C0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جامعه</w:t>
      </w:r>
    </w:p>
    <w:p w14:paraId="3BE85335" w14:textId="780D8248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مراکز جامع بهداشتی</w:t>
      </w:r>
    </w:p>
    <w:p w14:paraId="5ACCE701" w14:textId="26D4BF5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پرستاری بهداشت جامعه و سالمندی</w:t>
      </w:r>
    </w:p>
    <w:p w14:paraId="01C6E789" w14:textId="5D1C87DD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رضا نگارنده</w:t>
      </w:r>
    </w:p>
    <w:p w14:paraId="46AD21E6" w14:textId="4D8DF51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رضا نگارنده</w:t>
      </w:r>
      <w:r w:rsidR="00E14C0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دکتر نسرین نیک پیما</w:t>
      </w:r>
    </w:p>
    <w:p w14:paraId="7AFA580F" w14:textId="09FD005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66421685</w:t>
      </w:r>
    </w:p>
    <w:p w14:paraId="711130AE" w14:textId="46DC205F" w:rsidR="007D4D72" w:rsidRDefault="00993245" w:rsidP="000271B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271BD">
        <w:rPr>
          <w:rFonts w:ascii="Times New Roman" w:hAnsi="Times New Roman" w:cs="B Nazanin" w:hint="cs"/>
          <w:sz w:val="20"/>
          <w:szCs w:val="28"/>
          <w:rtl/>
          <w:lang w:bidi="fa-IR"/>
        </w:rPr>
        <w:t>25 ساعت (5روز)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08984461" w:rsidR="00993245" w:rsidRPr="000271BD" w:rsidRDefault="000271BD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271BD">
        <w:rPr>
          <w:rFonts w:asciiTheme="majorBidi" w:hAnsiTheme="majorBidi" w:cs="B Nazanin" w:hint="cs"/>
          <w:sz w:val="24"/>
          <w:szCs w:val="24"/>
          <w:rtl/>
          <w:lang w:bidi="fa-IR"/>
        </w:rPr>
        <w:t>با  ساختار و فرایند شبکه بهداشت و درمان آشنا شده و چالش های آن را شناسایی کند</w:t>
      </w:r>
    </w:p>
    <w:p w14:paraId="353D0813" w14:textId="22071A10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6808DAC" w14:textId="68DE5199" w:rsidR="000271BD" w:rsidRDefault="000271BD" w:rsidP="00446014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271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آشنایی با </w:t>
      </w:r>
      <w:r w:rsidR="00E14C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برنامه های بهداشتی جاری در </w:t>
      </w:r>
      <w:r w:rsidRPr="000271BD">
        <w:rPr>
          <w:rFonts w:asciiTheme="majorBidi" w:hAnsiTheme="majorBidi" w:cs="B Nazanin" w:hint="cs"/>
          <w:sz w:val="24"/>
          <w:szCs w:val="24"/>
          <w:rtl/>
          <w:lang w:bidi="fa-IR"/>
        </w:rPr>
        <w:t>شبکه بهداشت و درمان،</w:t>
      </w:r>
    </w:p>
    <w:p w14:paraId="057FAA03" w14:textId="635200F8" w:rsidR="000271BD" w:rsidRPr="000271BD" w:rsidRDefault="000271BD" w:rsidP="00E14C01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271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شناسایی </w:t>
      </w:r>
      <w:r w:rsidR="00E14C01">
        <w:rPr>
          <w:rFonts w:asciiTheme="majorBidi" w:hAnsiTheme="majorBidi" w:cs="B Nazanin" w:hint="cs"/>
          <w:sz w:val="24"/>
          <w:szCs w:val="24"/>
          <w:rtl/>
          <w:lang w:bidi="fa-IR"/>
        </w:rPr>
        <w:t>مشکلات سلامتی موجود</w:t>
      </w:r>
    </w:p>
    <w:p w14:paraId="34F47633" w14:textId="77777777" w:rsidR="00E14C01" w:rsidRDefault="000271BD" w:rsidP="00446014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271BD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E14C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ریزی برای رفع یکی از مشکلات شناسایی شده </w:t>
      </w:r>
    </w:p>
    <w:p w14:paraId="17FC9E1F" w14:textId="5EA89EB2" w:rsidR="002234CF" w:rsidRDefault="00E14C01" w:rsidP="00E14C01">
      <w:pPr>
        <w:bidi/>
        <w:spacing w:after="0"/>
        <w:ind w:left="72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برنامه</w:t>
      </w:r>
    </w:p>
    <w:p w14:paraId="5A574B41" w14:textId="40561994" w:rsidR="00993245" w:rsidRPr="007D345C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B115DB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397D029F" w14:textId="7FEB49EC" w:rsidR="000271BD" w:rsidRDefault="00E14C01" w:rsidP="00446014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بررسی و شناخت مشکلات مردم در حوزه سلامت</w:t>
      </w:r>
    </w:p>
    <w:p w14:paraId="007FD30E" w14:textId="7C9ADD16" w:rsidR="00E14C01" w:rsidRDefault="00E14C01" w:rsidP="00E14C01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برنامه های موجود</w:t>
      </w:r>
    </w:p>
    <w:p w14:paraId="5C209857" w14:textId="5F581D50" w:rsidR="00E14C01" w:rsidRDefault="00E14C01" w:rsidP="00E14C01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برنامه ریزی برای رفع مشکلاتی که برنامه ای برایشان نیست</w:t>
      </w:r>
    </w:p>
    <w:p w14:paraId="52697FF8" w14:textId="17C55CAA" w:rsidR="00E14C01" w:rsidRPr="00446014" w:rsidRDefault="00E14C01" w:rsidP="00E14C01">
      <w:pPr>
        <w:bidi/>
        <w:spacing w:after="0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اجرا و ارزشیابی برنامه</w:t>
      </w: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0E2FE4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0E2F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69EDC26D" w:rsidR="007D345C" w:rsidRDefault="000E2FE4" w:rsidP="00BD754A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imes New Roman" w:hAnsi="Times New Roman" w:cs="IranNastaliq" w:hint="cs"/>
          <w:bCs/>
          <w:szCs w:val="36"/>
          <w:rtl/>
          <w:lang w:bidi="fa-IR"/>
        </w:rPr>
        <w:t>حضور به موقع در عرصه یادگیری</w:t>
      </w:r>
    </w:p>
    <w:p w14:paraId="6148CDA0" w14:textId="522A6481" w:rsidR="000E2FE4" w:rsidRDefault="000E2FE4" w:rsidP="000E2FE4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imes New Roman" w:hAnsi="Times New Roman" w:cs="IranNastaliq" w:hint="cs"/>
          <w:bCs/>
          <w:szCs w:val="36"/>
          <w:rtl/>
          <w:lang w:bidi="fa-IR"/>
        </w:rPr>
        <w:t xml:space="preserve">کسب آمادگی لازم برای انجام کارورزی با  مرور مطالب نظری درس  </w:t>
      </w:r>
    </w:p>
    <w:p w14:paraId="3F5E7B5C" w14:textId="618C3DE6" w:rsidR="000E2FE4" w:rsidRDefault="000E2FE4" w:rsidP="000E2FE4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imes New Roman" w:hAnsi="Times New Roman" w:cs="IranNastaliq" w:hint="cs"/>
          <w:bCs/>
          <w:szCs w:val="36"/>
          <w:rtl/>
          <w:lang w:bidi="fa-IR"/>
        </w:rPr>
        <w:t>شناسایی گروه  مددجویان، معرفی خود به آنها و جلب مشارکت آنها برای شروع فرایند برنامه ریزی</w:t>
      </w:r>
    </w:p>
    <w:p w14:paraId="5C2F8721" w14:textId="7349CEE1" w:rsidR="000E2FE4" w:rsidRDefault="000E2FE4" w:rsidP="000E2FE4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imes New Roman" w:hAnsi="Times New Roman" w:cs="IranNastaliq" w:hint="cs"/>
          <w:bCs/>
          <w:szCs w:val="36"/>
          <w:rtl/>
          <w:lang w:bidi="fa-IR"/>
        </w:rPr>
        <w:t>استفاده از منابع موجود برای حل مشکل شناسایی شده  و  ارجاع در صورت لزوم</w:t>
      </w:r>
    </w:p>
    <w:p w14:paraId="71927D87" w14:textId="64129B23" w:rsidR="000E2FE4" w:rsidRDefault="000E2FE4" w:rsidP="000E2FE4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imes New Roman" w:hAnsi="Times New Roman" w:cs="IranNastaliq" w:hint="cs"/>
          <w:bCs/>
          <w:szCs w:val="36"/>
          <w:rtl/>
          <w:lang w:bidi="fa-IR"/>
        </w:rPr>
        <w:t>تهیه گزارش کار مستند</w:t>
      </w: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2F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F983136" w:rsidR="009958F7" w:rsidRPr="00892D57" w:rsidRDefault="00993245" w:rsidP="000E2FE4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</w:t>
      </w:r>
      <w:r w:rsidR="000E2FE4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3AE85B66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0E2F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دریافت گزارش کار </w:t>
      </w:r>
    </w:p>
    <w:p w14:paraId="3BE09019" w14:textId="7ABDDDB2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0E2F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100%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050A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منابع یادگیری: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28DF0A1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09A830A" w14:textId="77777777" w:rsidR="003050A0" w:rsidRPr="00476192" w:rsidRDefault="003050A0" w:rsidP="003050A0">
      <w:pPr>
        <w:pStyle w:val="ListParagraph"/>
        <w:numPr>
          <w:ilvl w:val="0"/>
          <w:numId w:val="10"/>
        </w:numPr>
        <w:tabs>
          <w:tab w:val="left" w:pos="0"/>
        </w:tabs>
        <w:spacing w:after="0"/>
        <w:ind w:left="360" w:hanging="270"/>
        <w:jc w:val="both"/>
        <w:rPr>
          <w:rFonts w:asciiTheme="majorBidi" w:hAnsiTheme="majorBidi" w:cs="B Lotus"/>
          <w:sz w:val="24"/>
          <w:szCs w:val="24"/>
          <w:lang w:bidi="fa-IR"/>
        </w:rPr>
      </w:pPr>
      <w:proofErr w:type="spell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Allender</w:t>
      </w:r>
      <w:proofErr w:type="spell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JA, Rector </w:t>
      </w:r>
      <w:proofErr w:type="spell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Ch</w:t>
      </w:r>
      <w:proofErr w:type="spell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, warner k (2014). Community &amp; Public Health nursing. 8th edition, Philadelphia, LWW.</w:t>
      </w:r>
    </w:p>
    <w:p w14:paraId="42A1D8CB" w14:textId="77777777" w:rsidR="003050A0" w:rsidRPr="00476192" w:rsidRDefault="003050A0" w:rsidP="003050A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 w:hanging="27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Guttmacher</w:t>
      </w:r>
      <w:proofErr w:type="spell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S, et al (2010). Community-based health intervention Principles and Applications. 1sd edition, United stated, </w:t>
      </w:r>
      <w:proofErr w:type="spell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Jossey</w:t>
      </w:r>
      <w:proofErr w:type="spell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-Bass.</w:t>
      </w:r>
    </w:p>
    <w:p w14:paraId="5606CC7F" w14:textId="77777777" w:rsidR="003050A0" w:rsidRPr="00476192" w:rsidRDefault="003050A0" w:rsidP="003050A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 w:hanging="27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proofErr w:type="spellStart"/>
      <w:proofErr w:type="gram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linsley</w:t>
      </w:r>
      <w:proofErr w:type="spellEnd"/>
      <w:proofErr w:type="gram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P, Kane K, Owen s (2011). Nursing for Public Health promotion, Principles and Practice. Manchester,</w:t>
      </w:r>
      <w:r w:rsidRPr="00476192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Oxford.</w:t>
      </w:r>
    </w:p>
    <w:p w14:paraId="5DE006E4" w14:textId="33A6DD29" w:rsidR="003050A0" w:rsidRDefault="003050A0" w:rsidP="003050A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 w:hanging="27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McKenize</w:t>
      </w:r>
      <w:proofErr w:type="spell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JF, et al (2011). Planning, Implementing, and Evaluating Health Promotion Programs a Primer. 6</w:t>
      </w:r>
      <w:r w:rsidRPr="0047619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edition, United </w:t>
      </w:r>
      <w:proofErr w:type="gramStart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states</w:t>
      </w:r>
      <w:proofErr w:type="gramEnd"/>
      <w:r w:rsidRPr="00476192">
        <w:rPr>
          <w:rFonts w:asciiTheme="majorBidi" w:eastAsia="Times New Roman" w:hAnsiTheme="majorBidi" w:cstheme="majorBidi"/>
          <w:color w:val="000000"/>
          <w:sz w:val="24"/>
          <w:szCs w:val="24"/>
        </w:rPr>
        <w:t>, Pearson.</w:t>
      </w:r>
    </w:p>
    <w:p w14:paraId="71840A9A" w14:textId="77777777" w:rsidR="000C0790" w:rsidRPr="000C0790" w:rsidRDefault="000C0790" w:rsidP="000C079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0C0790">
        <w:rPr>
          <w:rFonts w:asciiTheme="majorBidi" w:eastAsia="Times New Roman" w:hAnsiTheme="majorBidi" w:cstheme="majorBidi"/>
          <w:color w:val="000000"/>
          <w:sz w:val="24"/>
          <w:szCs w:val="24"/>
        </w:rPr>
        <w:t>Rector C, Stanly MJ (2022). Community and public health nursing Promoting the Public' Health. Tenth edition, Philadelphia, Wolters Kluwer.</w:t>
      </w:r>
    </w:p>
    <w:p w14:paraId="719799E6" w14:textId="77777777" w:rsidR="000C0790" w:rsidRPr="000C0790" w:rsidRDefault="000C0790" w:rsidP="000C0790">
      <w:pPr>
        <w:bidi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237F4DE1" w14:textId="77777777" w:rsidR="000C0790" w:rsidRDefault="000C0790" w:rsidP="003050A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 w:hanging="27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EE86723" w14:textId="5FA7C2E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1ED2229" w14:textId="1268C721" w:rsidR="003050A0" w:rsidRPr="00EB6DB3" w:rsidRDefault="003050A0" w:rsidP="003050A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مقالات مرتبط این حوزه</w:t>
      </w:r>
    </w:p>
    <w:p w14:paraId="24C9679C" w14:textId="77777777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7777777" w:rsidR="00803159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050A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3050A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3050A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بندی هفتگی: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24"/>
        <w:gridCol w:w="1333"/>
        <w:gridCol w:w="1345"/>
        <w:gridCol w:w="1357"/>
        <w:gridCol w:w="1344"/>
        <w:gridCol w:w="1374"/>
        <w:gridCol w:w="1273"/>
      </w:tblGrid>
      <w:tr w:rsidR="003050A0" w:rsidRPr="00872C1B" w14:paraId="5CFA60D5" w14:textId="77777777" w:rsidTr="00305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3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45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57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44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4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73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0E2FE4" w:rsidRPr="00853ACF" w14:paraId="05BE9E6B" w14:textId="77777777" w:rsidTr="00305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33" w:type="dxa"/>
          </w:tcPr>
          <w:p w14:paraId="1C22A374" w14:textId="76F043C5" w:rsidR="00993245" w:rsidRPr="00853ACF" w:rsidRDefault="00993245" w:rsidP="000E2F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آشنایی با </w:t>
            </w:r>
            <w:r w:rsidR="000E2FE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اهداف کارورزی تعیین گروه هدف و جلب مشارکت آنها</w:t>
            </w:r>
          </w:p>
        </w:tc>
        <w:tc>
          <w:tcPr>
            <w:tcW w:w="1345" w:type="dxa"/>
          </w:tcPr>
          <w:p w14:paraId="77E55DC6" w14:textId="59265F8E" w:rsidR="00993245" w:rsidRPr="00853ACF" w:rsidRDefault="000E2FE4" w:rsidP="003050A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شناسایی مشکل</w:t>
            </w:r>
            <w:r w:rsidR="003050A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ات مرتبط با سلامت و الویت بندی آنها </w:t>
            </w:r>
          </w:p>
        </w:tc>
        <w:tc>
          <w:tcPr>
            <w:tcW w:w="1357" w:type="dxa"/>
          </w:tcPr>
          <w:p w14:paraId="354B5D75" w14:textId="3E53F498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پیدا کردن راه حال های ممکن و ارزیابی آنها</w:t>
            </w:r>
          </w:p>
        </w:tc>
        <w:tc>
          <w:tcPr>
            <w:tcW w:w="1344" w:type="dxa"/>
          </w:tcPr>
          <w:p w14:paraId="5303C8FD" w14:textId="56074F2D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پیاده کردن راه حل انتخابی با مشارکت ذیتفعان</w:t>
            </w:r>
          </w:p>
        </w:tc>
        <w:tc>
          <w:tcPr>
            <w:tcW w:w="1374" w:type="dxa"/>
          </w:tcPr>
          <w:p w14:paraId="53427F14" w14:textId="4BA45D5F" w:rsidR="00993245" w:rsidRPr="00853ACF" w:rsidRDefault="003050A0" w:rsidP="003050A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ارزیابی فرایند، تاثیر و  مداخلات و نگارش گزارش  </w:t>
            </w:r>
          </w:p>
        </w:tc>
        <w:tc>
          <w:tcPr>
            <w:tcW w:w="1273" w:type="dxa"/>
          </w:tcPr>
          <w:p w14:paraId="3912150E" w14:textId="3BBA366C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</w:t>
            </w:r>
          </w:p>
        </w:tc>
      </w:tr>
      <w:tr w:rsidR="003050A0" w:rsidRPr="00853ACF" w14:paraId="134EB315" w14:textId="77777777" w:rsidTr="0030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14:paraId="7CD02AA9" w14:textId="77777777" w:rsidR="003050A0" w:rsidRPr="00853ACF" w:rsidRDefault="003050A0" w:rsidP="003050A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1333" w:type="dxa"/>
          </w:tcPr>
          <w:p w14:paraId="590193A6" w14:textId="4AE10318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  <w:r w:rsidR="00B2349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/ خانم دکتر نیک پیما</w:t>
            </w:r>
          </w:p>
        </w:tc>
        <w:tc>
          <w:tcPr>
            <w:tcW w:w="1345" w:type="dxa"/>
          </w:tcPr>
          <w:p w14:paraId="2C8A23B1" w14:textId="1529DBD0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F8045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 نگارنده</w:t>
            </w:r>
            <w:r w:rsidR="00B2349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/ خانم دکتر نیک پیما</w:t>
            </w:r>
          </w:p>
        </w:tc>
        <w:tc>
          <w:tcPr>
            <w:tcW w:w="1357" w:type="dxa"/>
          </w:tcPr>
          <w:p w14:paraId="4A8815B7" w14:textId="6F2DC0A0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F8045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 نگارنده</w:t>
            </w:r>
            <w:r w:rsidR="00B2349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/ خانم دکتر نیک پیما</w:t>
            </w:r>
          </w:p>
        </w:tc>
        <w:tc>
          <w:tcPr>
            <w:tcW w:w="1344" w:type="dxa"/>
          </w:tcPr>
          <w:p w14:paraId="61B5F435" w14:textId="53A898D7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F8045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 نگارنده</w:t>
            </w:r>
            <w:r w:rsidR="00B2349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/ خانم دکتر نیک پیما</w:t>
            </w:r>
          </w:p>
        </w:tc>
        <w:tc>
          <w:tcPr>
            <w:tcW w:w="1374" w:type="dxa"/>
          </w:tcPr>
          <w:p w14:paraId="1C667038" w14:textId="57EDBFFB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F8045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 نگارنده</w:t>
            </w:r>
            <w:r w:rsidR="00B2349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/ خانم دکتر نیک پیما</w:t>
            </w:r>
          </w:p>
        </w:tc>
        <w:tc>
          <w:tcPr>
            <w:tcW w:w="1273" w:type="dxa"/>
          </w:tcPr>
          <w:p w14:paraId="20EBDB74" w14:textId="77777777" w:rsidR="003050A0" w:rsidRPr="00853ACF" w:rsidRDefault="003050A0" w:rsidP="003050A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0E2FE4" w:rsidRPr="00853ACF" w14:paraId="0D41AD95" w14:textId="77777777" w:rsidTr="00305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14:paraId="4D38DA1C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 w:rsidR="00FF521C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3" w:type="dxa"/>
          </w:tcPr>
          <w:p w14:paraId="191447D4" w14:textId="59C63156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8تا12</w:t>
            </w:r>
          </w:p>
        </w:tc>
        <w:tc>
          <w:tcPr>
            <w:tcW w:w="1345" w:type="dxa"/>
          </w:tcPr>
          <w:p w14:paraId="3A1459D2" w14:textId="0FAE8724" w:rsidR="00993245" w:rsidRPr="00853ACF" w:rsidRDefault="00993245" w:rsidP="000E2F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 w:rsidR="000E2FE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8تا12</w:t>
            </w:r>
          </w:p>
        </w:tc>
        <w:tc>
          <w:tcPr>
            <w:tcW w:w="1357" w:type="dxa"/>
          </w:tcPr>
          <w:p w14:paraId="39C6A3E8" w14:textId="5F8509B6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8تا12</w:t>
            </w:r>
          </w:p>
        </w:tc>
        <w:tc>
          <w:tcPr>
            <w:tcW w:w="1344" w:type="dxa"/>
          </w:tcPr>
          <w:p w14:paraId="148AD439" w14:textId="1A99B8F6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8تا12</w:t>
            </w:r>
          </w:p>
        </w:tc>
        <w:tc>
          <w:tcPr>
            <w:tcW w:w="1374" w:type="dxa"/>
          </w:tcPr>
          <w:p w14:paraId="2CFC597D" w14:textId="4BA742A7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8تا12</w:t>
            </w:r>
          </w:p>
        </w:tc>
        <w:tc>
          <w:tcPr>
            <w:tcW w:w="1273" w:type="dxa"/>
          </w:tcPr>
          <w:p w14:paraId="285CDAC6" w14:textId="41045688" w:rsidR="00993245" w:rsidRPr="00853ACF" w:rsidRDefault="000E2FE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</w:t>
            </w:r>
          </w:p>
        </w:tc>
      </w:tr>
      <w:tr w:rsidR="003050A0" w:rsidRPr="00853ACF" w14:paraId="04907AD1" w14:textId="77777777" w:rsidTr="0030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3" w:type="dxa"/>
          </w:tcPr>
          <w:p w14:paraId="22AD066C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5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7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4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74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273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722F" w14:textId="77777777" w:rsidR="00C94F4F" w:rsidRDefault="00C94F4F" w:rsidP="00275357">
      <w:pPr>
        <w:spacing w:after="0" w:line="240" w:lineRule="auto"/>
      </w:pPr>
      <w:r>
        <w:separator/>
      </w:r>
    </w:p>
  </w:endnote>
  <w:endnote w:type="continuationSeparator" w:id="0">
    <w:p w14:paraId="3964C15D" w14:textId="77777777" w:rsidR="00C94F4F" w:rsidRDefault="00C94F4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CDB78D1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79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1573" w14:textId="77777777" w:rsidR="00C94F4F" w:rsidRDefault="00C94F4F" w:rsidP="00275357">
      <w:pPr>
        <w:spacing w:after="0" w:line="240" w:lineRule="auto"/>
      </w:pPr>
      <w:r>
        <w:separator/>
      </w:r>
    </w:p>
  </w:footnote>
  <w:footnote w:type="continuationSeparator" w:id="0">
    <w:p w14:paraId="66A34F5C" w14:textId="77777777" w:rsidR="00C94F4F" w:rsidRDefault="00C94F4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312"/>
    <w:multiLevelType w:val="hybridMultilevel"/>
    <w:tmpl w:val="CBC6F3C8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02E4"/>
    <w:multiLevelType w:val="hybridMultilevel"/>
    <w:tmpl w:val="1ED2B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MTYxMTQ2MTMzMzdX0lEKTi0uzszPAykwqQUAzFgS3ywAAAA="/>
  </w:docVars>
  <w:rsids>
    <w:rsidRoot w:val="00F7033C"/>
    <w:rsid w:val="00006DD5"/>
    <w:rsid w:val="0001005A"/>
    <w:rsid w:val="00022CD1"/>
    <w:rsid w:val="000271BD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C0790"/>
    <w:rsid w:val="000D2C4A"/>
    <w:rsid w:val="000D4AC6"/>
    <w:rsid w:val="000E2D3C"/>
    <w:rsid w:val="000E2FE4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0A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4601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653F7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2349B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4F4F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1725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14C01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DA87-FD8A-4758-91F9-0119D3B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reza negarandeh</cp:lastModifiedBy>
  <cp:revision>3</cp:revision>
  <cp:lastPrinted>2020-08-04T07:19:00Z</cp:lastPrinted>
  <dcterms:created xsi:type="dcterms:W3CDTF">2022-03-08T07:02:00Z</dcterms:created>
  <dcterms:modified xsi:type="dcterms:W3CDTF">2022-03-14T09:57:00Z</dcterms:modified>
</cp:coreProperties>
</file>